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A04FF7"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February 18,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A04FF7">
        <w:rPr>
          <w:rFonts w:asciiTheme="minorHAnsi" w:hAnsiTheme="minorHAnsi" w:cstheme="minorHAnsi"/>
          <w:sz w:val="24"/>
          <w:szCs w:val="24"/>
        </w:rPr>
        <w:t>17</w:t>
      </w:r>
      <w:r w:rsidR="0054487A" w:rsidRPr="0054487A">
        <w:rPr>
          <w:rFonts w:asciiTheme="minorHAnsi" w:hAnsiTheme="minorHAnsi" w:cstheme="minorHAnsi"/>
          <w:sz w:val="24"/>
          <w:szCs w:val="24"/>
          <w:vertAlign w:val="superscript"/>
        </w:rPr>
        <w:t>h</w:t>
      </w:r>
      <w:r w:rsidR="0054487A">
        <w:rPr>
          <w:rFonts w:asciiTheme="minorHAnsi" w:hAnsiTheme="minorHAnsi" w:cstheme="minorHAnsi"/>
          <w:sz w:val="24"/>
          <w:szCs w:val="24"/>
        </w:rPr>
        <w:t xml:space="preserve"> Day of </w:t>
      </w:r>
      <w:r w:rsidR="00A04FF7">
        <w:rPr>
          <w:rFonts w:asciiTheme="minorHAnsi" w:hAnsiTheme="minorHAnsi" w:cstheme="minorHAnsi"/>
          <w:sz w:val="24"/>
          <w:szCs w:val="24"/>
        </w:rPr>
        <w:t xml:space="preserve">February </w:t>
      </w:r>
      <w:r w:rsidR="0054487A">
        <w:rPr>
          <w:rFonts w:asciiTheme="minorHAnsi" w:hAnsiTheme="minorHAnsi" w:cstheme="minorHAnsi"/>
          <w:sz w:val="24"/>
          <w:szCs w:val="24"/>
        </w:rPr>
        <w:t>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560ACD"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560ACD">
        <w:rPr>
          <w:rFonts w:asciiTheme="minorHAnsi" w:hAnsiTheme="minorHAnsi" w:cstheme="minorHAnsi"/>
          <w:sz w:val="24"/>
          <w:szCs w:val="24"/>
        </w:rPr>
        <w:t xml:space="preserve">:  </w:t>
      </w:r>
      <w:r w:rsidR="00560ACD">
        <w:rPr>
          <w:rFonts w:asciiTheme="minorHAnsi" w:hAnsiTheme="minorHAnsi" w:cstheme="minorHAnsi"/>
          <w:color w:val="FF0000"/>
          <w:sz w:val="24"/>
          <w:szCs w:val="24"/>
        </w:rPr>
        <w:t>Quorum established at 10:31am</w:t>
      </w:r>
    </w:p>
    <w:p w:rsidR="00560ACD" w:rsidRPr="00560ACD" w:rsidRDefault="00560ACD" w:rsidP="00560ACD">
      <w:pPr>
        <w:pStyle w:val="ListParagraph"/>
        <w:tabs>
          <w:tab w:val="left" w:pos="1418"/>
        </w:tabs>
        <w:spacing w:before="84"/>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Robert Scott (Board Member), Barry McBride (Board Treasurer), Cheryl Myers (ROP Financials), CJ Bower (ROP CFO), Carol Cantrell (Minute Taker)</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r w:rsidR="00183133">
        <w:rPr>
          <w:rFonts w:asciiTheme="minorHAnsi" w:hAnsiTheme="minorHAnsi" w:cstheme="minorHAnsi"/>
          <w:color w:val="FF0000"/>
          <w:sz w:val="24"/>
          <w:szCs w:val="24"/>
        </w:rPr>
        <w:t>No Special Guests</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A04FF7">
        <w:rPr>
          <w:rFonts w:asciiTheme="minorHAnsi" w:hAnsiTheme="minorHAnsi" w:cstheme="minorHAnsi"/>
          <w:sz w:val="24"/>
          <w:szCs w:val="24"/>
        </w:rPr>
        <w:t>January 21, 2021</w:t>
      </w:r>
      <w:r w:rsidR="007E547E">
        <w:rPr>
          <w:rFonts w:asciiTheme="minorHAnsi" w:hAnsiTheme="minorHAnsi" w:cstheme="minorHAnsi"/>
          <w:sz w:val="24"/>
          <w:szCs w:val="24"/>
        </w:rPr>
        <w:t xml:space="preserve">:  </w:t>
      </w:r>
      <w:r w:rsidR="007E547E">
        <w:rPr>
          <w:rFonts w:asciiTheme="minorHAnsi" w:hAnsiTheme="minorHAnsi" w:cstheme="minorHAnsi"/>
          <w:color w:val="FF0000"/>
          <w:sz w:val="24"/>
          <w:szCs w:val="24"/>
        </w:rPr>
        <w:t>January 21, 2021 minutes approved (1</w:t>
      </w:r>
      <w:r w:rsidR="007E547E" w:rsidRPr="007E547E">
        <w:rPr>
          <w:rFonts w:asciiTheme="minorHAnsi" w:hAnsiTheme="minorHAnsi" w:cstheme="minorHAnsi"/>
          <w:color w:val="FF0000"/>
          <w:sz w:val="24"/>
          <w:szCs w:val="24"/>
          <w:vertAlign w:val="superscript"/>
        </w:rPr>
        <w:t>st</w:t>
      </w:r>
      <w:r w:rsidR="007E547E">
        <w:rPr>
          <w:rFonts w:asciiTheme="minorHAnsi" w:hAnsiTheme="minorHAnsi" w:cstheme="minorHAnsi"/>
          <w:color w:val="FF0000"/>
          <w:sz w:val="24"/>
          <w:szCs w:val="24"/>
        </w:rPr>
        <w:t>: R. Scott, 2</w:t>
      </w:r>
      <w:r w:rsidR="007E547E" w:rsidRPr="007E547E">
        <w:rPr>
          <w:rFonts w:asciiTheme="minorHAnsi" w:hAnsiTheme="minorHAnsi" w:cstheme="minorHAnsi"/>
          <w:color w:val="FF0000"/>
          <w:sz w:val="24"/>
          <w:szCs w:val="24"/>
          <w:vertAlign w:val="superscript"/>
        </w:rPr>
        <w:t>nd</w:t>
      </w:r>
      <w:r w:rsidR="007E547E">
        <w:rPr>
          <w:rFonts w:asciiTheme="minorHAnsi" w:hAnsiTheme="minorHAnsi" w:cstheme="minorHAnsi"/>
          <w:color w:val="FF0000"/>
          <w:sz w:val="24"/>
          <w:szCs w:val="24"/>
        </w:rPr>
        <w:t xml:space="preserve"> (B. McBride)</w:t>
      </w:r>
      <w:r w:rsidR="00A04FF7">
        <w:rPr>
          <w:rFonts w:asciiTheme="minorHAnsi" w:hAnsiTheme="minorHAnsi" w:cstheme="minorHAnsi"/>
          <w:sz w:val="24"/>
          <w:szCs w:val="24"/>
        </w:rPr>
        <w:t xml:space="preserve"> </w:t>
      </w:r>
    </w:p>
    <w:p w:rsidR="00A04FF7" w:rsidRDefault="00A04FF7" w:rsidP="005C173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for ESL component for ESPED for compliance- 4,250 for setup</w:t>
      </w:r>
      <w:r w:rsidR="007E547E">
        <w:rPr>
          <w:rFonts w:asciiTheme="minorHAnsi" w:hAnsiTheme="minorHAnsi" w:cstheme="minorHAnsi"/>
          <w:sz w:val="24"/>
          <w:szCs w:val="24"/>
        </w:rPr>
        <w:t xml:space="preserve"> and 2,000 annually for program:  </w:t>
      </w:r>
      <w:r w:rsidR="007E547E">
        <w:rPr>
          <w:rFonts w:asciiTheme="minorHAnsi" w:hAnsiTheme="minorHAnsi" w:cstheme="minorHAnsi"/>
          <w:color w:val="FF0000"/>
          <w:sz w:val="24"/>
          <w:szCs w:val="24"/>
        </w:rPr>
        <w:t>ESL component funding approved (1</w:t>
      </w:r>
      <w:r w:rsidR="007E547E" w:rsidRPr="007E547E">
        <w:rPr>
          <w:rFonts w:asciiTheme="minorHAnsi" w:hAnsiTheme="minorHAnsi" w:cstheme="minorHAnsi"/>
          <w:color w:val="FF0000"/>
          <w:sz w:val="24"/>
          <w:szCs w:val="24"/>
          <w:vertAlign w:val="superscript"/>
        </w:rPr>
        <w:t>st</w:t>
      </w:r>
      <w:r w:rsidR="007E547E">
        <w:rPr>
          <w:rFonts w:asciiTheme="minorHAnsi" w:hAnsiTheme="minorHAnsi" w:cstheme="minorHAnsi"/>
          <w:color w:val="FF0000"/>
          <w:sz w:val="24"/>
          <w:szCs w:val="24"/>
        </w:rPr>
        <w:t xml:space="preserve"> R. Scott, 2</w:t>
      </w:r>
      <w:r w:rsidR="007E547E" w:rsidRPr="007E547E">
        <w:rPr>
          <w:rFonts w:asciiTheme="minorHAnsi" w:hAnsiTheme="minorHAnsi" w:cstheme="minorHAnsi"/>
          <w:color w:val="FF0000"/>
          <w:sz w:val="24"/>
          <w:szCs w:val="24"/>
          <w:vertAlign w:val="superscript"/>
        </w:rPr>
        <w:t>nd</w:t>
      </w:r>
      <w:r w:rsidR="007E547E">
        <w:rPr>
          <w:rFonts w:asciiTheme="minorHAnsi" w:hAnsiTheme="minorHAnsi" w:cstheme="minorHAnsi"/>
          <w:color w:val="FF0000"/>
          <w:sz w:val="24"/>
          <w:szCs w:val="24"/>
        </w:rPr>
        <w:t xml:space="preserve"> B. McBride)</w:t>
      </w:r>
      <w:r>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r w:rsidR="00B756BA">
        <w:rPr>
          <w:rFonts w:asciiTheme="minorHAnsi" w:hAnsiTheme="minorHAnsi" w:cstheme="minorHAnsi"/>
          <w:sz w:val="24"/>
          <w:szCs w:val="24"/>
        </w:rPr>
        <w:t xml:space="preserve">:  </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3D3243" w:rsidRDefault="00B756BA"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NSLP Audit Update:  </w:t>
      </w:r>
      <w:r>
        <w:rPr>
          <w:rFonts w:asciiTheme="minorHAnsi" w:hAnsiTheme="minorHAnsi" w:cstheme="minorHAnsi"/>
          <w:color w:val="FF0000"/>
          <w:sz w:val="24"/>
          <w:szCs w:val="24"/>
        </w:rPr>
        <w:t xml:space="preserve">2 action items did not get approved but was given a waiver to fix and resubmit.  </w:t>
      </w:r>
    </w:p>
    <w:p w:rsidR="003D3243"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2</w:t>
      </w:r>
      <w:r w:rsidRPr="00A04FF7">
        <w:rPr>
          <w:rFonts w:asciiTheme="minorHAnsi" w:hAnsiTheme="minorHAnsi" w:cstheme="minorHAnsi"/>
          <w:sz w:val="24"/>
          <w:szCs w:val="24"/>
          <w:vertAlign w:val="superscript"/>
        </w:rPr>
        <w:t>nd</w:t>
      </w:r>
      <w:r>
        <w:rPr>
          <w:rFonts w:asciiTheme="minorHAnsi" w:hAnsiTheme="minorHAnsi" w:cstheme="minorHAnsi"/>
          <w:sz w:val="24"/>
          <w:szCs w:val="24"/>
        </w:rPr>
        <w:t xml:space="preserve"> CAD submittal review with TEA</w:t>
      </w:r>
    </w:p>
    <w:p w:rsidR="003D3243" w:rsidRDefault="003D3243" w:rsidP="003D3243">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COVID-19</w:t>
      </w:r>
      <w:r w:rsidR="00A04FF7">
        <w:rPr>
          <w:rFonts w:asciiTheme="minorHAnsi" w:hAnsiTheme="minorHAnsi" w:cstheme="minorHAnsi"/>
          <w:sz w:val="24"/>
          <w:szCs w:val="24"/>
        </w:rPr>
        <w:t xml:space="preserve"> Updates </w:t>
      </w:r>
    </w:p>
    <w:p w:rsidR="003D3243" w:rsidRPr="00A04FF7" w:rsidRDefault="00A04FF7" w:rsidP="00A04FF7">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Vaccinations – 60% of education staff  </w:t>
      </w:r>
    </w:p>
    <w:p w:rsidR="007101D9" w:rsidRDefault="00A04FF7"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3D3243"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Principal onboard as of 2/8/2021 – Dr. Faustina Thompson</w:t>
      </w:r>
    </w:p>
    <w:p w:rsidR="0054487A"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Social studies teacher departure – 2/19</w:t>
      </w:r>
    </w:p>
    <w:p w:rsidR="0054487A"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Termination of Instructional Aide – 2/11</w:t>
      </w:r>
    </w:p>
    <w:p w:rsidR="0054487A"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lastRenderedPageBreak/>
        <w:t xml:space="preserve">Both vacancies have been posted- holding on IA position with census being low </w:t>
      </w:r>
    </w:p>
    <w:p w:rsidR="00F55452" w:rsidRDefault="00A04FF7"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Operations</w:t>
      </w:r>
    </w:p>
    <w:p w:rsidR="00A04FF7"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Winter storm update </w:t>
      </w:r>
    </w:p>
    <w:p w:rsidR="00A04FF7" w:rsidRDefault="00A04FF7" w:rsidP="00A04FF7">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No request for waiver needed </w:t>
      </w:r>
    </w:p>
    <w:p w:rsidR="00A04FF7" w:rsidRDefault="00A04FF7" w:rsidP="00A04FF7">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No school closure for LGYS</w:t>
      </w:r>
    </w:p>
    <w:p w:rsidR="00A04FF7" w:rsidRDefault="00A04FF7" w:rsidP="00A04FF7">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 sleeping on campus </w:t>
      </w:r>
    </w:p>
    <w:p w:rsidR="003D3243" w:rsidRPr="00A04FF7" w:rsidRDefault="00A04FF7" w:rsidP="00A04FF7">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Credit recovery program offered 2x per week – 4:00-5:30 (pay teachers for extended day)</w:t>
      </w:r>
    </w:p>
    <w:p w:rsidR="00B756BA" w:rsidRPr="00B756BA"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0" w:name="On_Thursday,_August_16,_2018_at_12:00_pm"/>
      <w:bookmarkEnd w:id="0"/>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w:t>
      </w:r>
      <w:r w:rsidR="00B756BA">
        <w:rPr>
          <w:rFonts w:asciiTheme="minorHAnsi" w:hAnsiTheme="minorHAnsi" w:cstheme="minorHAnsi"/>
          <w:sz w:val="24"/>
          <w:szCs w:val="24"/>
        </w:rPr>
        <w:t xml:space="preserve">:  </w:t>
      </w:r>
      <w:r w:rsidR="00B756BA">
        <w:rPr>
          <w:rFonts w:asciiTheme="minorHAnsi" w:hAnsiTheme="minorHAnsi" w:cstheme="minorHAnsi"/>
          <w:color w:val="FF0000"/>
          <w:sz w:val="24"/>
          <w:szCs w:val="24"/>
        </w:rPr>
        <w:t>Balance Sheet, cash up, assets up, accounts payable down due to waiting on PPE loan forgiveness.</w:t>
      </w:r>
    </w:p>
    <w:p w:rsidR="00B756BA" w:rsidRDefault="00B756BA" w:rsidP="00B756B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Federal and State up but expect to go down due to student census being down</w:t>
      </w:r>
    </w:p>
    <w:p w:rsidR="00B756BA" w:rsidRDefault="00B756BA" w:rsidP="00B756B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Salaries down but expect to even out due to new principal starting on Feb. 8, 2021</w:t>
      </w:r>
    </w:p>
    <w:p w:rsidR="00B756BA" w:rsidRDefault="00AF3BAB" w:rsidP="00B756B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New Business:  Structure of Board, look at progression to fill empty seat, possible move members up but need to look at the By-Laws before filling seat.</w:t>
      </w:r>
    </w:p>
    <w:p w:rsidR="00AF3BAB" w:rsidRDefault="00AF3BAB" w:rsidP="00B756B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Need an action item on next board agenda to fill seat and appoint new positions.</w:t>
      </w:r>
    </w:p>
    <w:p w:rsidR="00AF3BAB" w:rsidRDefault="00AF3BAB" w:rsidP="00B756B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May need to amend</w:t>
      </w:r>
      <w:bookmarkStart w:id="1" w:name="_GoBack"/>
      <w:bookmarkEnd w:id="1"/>
      <w:r>
        <w:rPr>
          <w:rFonts w:asciiTheme="minorHAnsi" w:hAnsiTheme="minorHAnsi" w:cstheme="minorHAnsi"/>
          <w:color w:val="FF0000"/>
          <w:sz w:val="24"/>
          <w:szCs w:val="24"/>
        </w:rPr>
        <w:t xml:space="preserve"> the by-laws if filling empty seats is not already addressed.</w:t>
      </w:r>
    </w:p>
    <w:p w:rsidR="00FB54A4" w:rsidRPr="00B756BA" w:rsidRDefault="004F1783" w:rsidP="00B756BA">
      <w:pPr>
        <w:pStyle w:val="ListParagraph"/>
        <w:tabs>
          <w:tab w:val="left" w:pos="1418"/>
        </w:tabs>
        <w:spacing w:line="273" w:lineRule="exact"/>
        <w:ind w:left="1417" w:firstLine="0"/>
        <w:rPr>
          <w:rFonts w:asciiTheme="minorHAnsi" w:hAnsiTheme="minorHAnsi" w:cstheme="minorHAnsi"/>
          <w:color w:val="FF0000"/>
          <w:sz w:val="24"/>
          <w:szCs w:val="24"/>
        </w:rPr>
      </w:pPr>
      <w:r w:rsidRPr="00B756BA">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AF3BAB">
        <w:rPr>
          <w:rFonts w:asciiTheme="minorHAnsi" w:hAnsiTheme="minorHAnsi" w:cstheme="minorHAnsi"/>
          <w:color w:val="FF0000"/>
          <w:sz w:val="24"/>
          <w:szCs w:val="24"/>
        </w:rPr>
        <w:t>10:52am</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86" w:rsidRDefault="00A51586">
      <w:r>
        <w:separator/>
      </w:r>
    </w:p>
  </w:endnote>
  <w:endnote w:type="continuationSeparator" w:id="0">
    <w:p w:rsidR="00A51586" w:rsidRDefault="00A5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86" w:rsidRDefault="00A51586">
      <w:r>
        <w:separator/>
      </w:r>
    </w:p>
  </w:footnote>
  <w:footnote w:type="continuationSeparator" w:id="0">
    <w:p w:rsidR="00A51586" w:rsidRDefault="00A515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83133"/>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0099B"/>
    <w:rsid w:val="005144B9"/>
    <w:rsid w:val="005257B1"/>
    <w:rsid w:val="005274C2"/>
    <w:rsid w:val="00532FEA"/>
    <w:rsid w:val="0054487A"/>
    <w:rsid w:val="0054532B"/>
    <w:rsid w:val="00560ACD"/>
    <w:rsid w:val="00561349"/>
    <w:rsid w:val="0056707B"/>
    <w:rsid w:val="005C1739"/>
    <w:rsid w:val="005D1A53"/>
    <w:rsid w:val="005E283A"/>
    <w:rsid w:val="005E608C"/>
    <w:rsid w:val="005F6BD8"/>
    <w:rsid w:val="006134D4"/>
    <w:rsid w:val="00624898"/>
    <w:rsid w:val="006453B0"/>
    <w:rsid w:val="00694A34"/>
    <w:rsid w:val="006B2EF7"/>
    <w:rsid w:val="006B540D"/>
    <w:rsid w:val="006C17E9"/>
    <w:rsid w:val="006E4A94"/>
    <w:rsid w:val="006E6E31"/>
    <w:rsid w:val="006F2EA6"/>
    <w:rsid w:val="007101D9"/>
    <w:rsid w:val="007108D6"/>
    <w:rsid w:val="007224F8"/>
    <w:rsid w:val="007535F8"/>
    <w:rsid w:val="0078478B"/>
    <w:rsid w:val="007B42CA"/>
    <w:rsid w:val="007D4DE6"/>
    <w:rsid w:val="007E547E"/>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4FF7"/>
    <w:rsid w:val="00A07515"/>
    <w:rsid w:val="00A51586"/>
    <w:rsid w:val="00A6158E"/>
    <w:rsid w:val="00A97356"/>
    <w:rsid w:val="00AB1458"/>
    <w:rsid w:val="00AF3BAB"/>
    <w:rsid w:val="00B128D2"/>
    <w:rsid w:val="00B52A99"/>
    <w:rsid w:val="00B62B0B"/>
    <w:rsid w:val="00B72D3F"/>
    <w:rsid w:val="00B756BA"/>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A5D5B"/>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3B616"/>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6</cp:revision>
  <cp:lastPrinted>2020-06-17T21:10:00Z</cp:lastPrinted>
  <dcterms:created xsi:type="dcterms:W3CDTF">2021-03-16T19:26:00Z</dcterms:created>
  <dcterms:modified xsi:type="dcterms:W3CDTF">2021-03-16T19:50:00Z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